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E1" w:rsidRPr="004B2B6A" w:rsidRDefault="004F47E1" w:rsidP="004F47E1">
      <w:pPr>
        <w:rPr>
          <w:color w:val="595959" w:themeColor="text1" w:themeTint="A6"/>
          <w:lang w:val="en-US"/>
        </w:rPr>
      </w:pPr>
    </w:p>
    <w:p w:rsidR="004F47E1" w:rsidRPr="009115A7" w:rsidRDefault="004F47E1" w:rsidP="004F47E1">
      <w:pPr>
        <w:pStyle w:val="ToRWGTitle"/>
        <w:jc w:val="center"/>
        <w:rPr>
          <w:rFonts w:ascii="Qanelas" w:hAnsi="Qanelas"/>
          <w:b/>
          <w:sz w:val="48"/>
          <w:szCs w:val="52"/>
        </w:rPr>
      </w:pPr>
      <w:r w:rsidRPr="009115A7">
        <w:rPr>
          <w:rFonts w:ascii="Qanelas" w:hAnsi="Qanelas"/>
          <w:b/>
          <w:sz w:val="48"/>
          <w:szCs w:val="52"/>
        </w:rPr>
        <w:t>TERMS OF REFERENCE</w:t>
      </w:r>
    </w:p>
    <w:p w:rsidR="00BD0F11" w:rsidRDefault="00BD0F11" w:rsidP="00BD0F11">
      <w:pPr>
        <w:pStyle w:val="ToRWGTitle"/>
        <w:jc w:val="center"/>
        <w:rPr>
          <w:rFonts w:ascii="Qanelas" w:hAnsi="Qanelas"/>
          <w:b/>
          <w:sz w:val="48"/>
          <w:szCs w:val="52"/>
        </w:rPr>
      </w:pPr>
      <w:r>
        <w:rPr>
          <w:rFonts w:ascii="Qanelas" w:hAnsi="Qanelas"/>
          <w:b/>
          <w:sz w:val="48"/>
          <w:szCs w:val="52"/>
        </w:rPr>
        <w:t>E</w:t>
      </w:r>
      <w:r w:rsidR="00F73AC3">
        <w:rPr>
          <w:rFonts w:ascii="Qanelas" w:hAnsi="Qanelas"/>
          <w:b/>
          <w:sz w:val="48"/>
          <w:szCs w:val="52"/>
        </w:rPr>
        <w:t xml:space="preserve">lectrification &amp; Sustainability </w:t>
      </w:r>
      <w:r>
        <w:rPr>
          <w:rFonts w:ascii="Qanelas" w:hAnsi="Qanelas"/>
          <w:b/>
          <w:sz w:val="48"/>
          <w:szCs w:val="52"/>
        </w:rPr>
        <w:t>Committee</w:t>
      </w:r>
    </w:p>
    <w:p w:rsidR="004F47E1" w:rsidRPr="009115A7" w:rsidRDefault="004F47E1" w:rsidP="004F47E1">
      <w:pPr>
        <w:pStyle w:val="ToRWGTitle"/>
        <w:jc w:val="center"/>
        <w:rPr>
          <w:rFonts w:ascii="Qanelas" w:hAnsi="Qanelas"/>
          <w:b/>
          <w:sz w:val="48"/>
          <w:szCs w:val="52"/>
        </w:rPr>
      </w:pPr>
      <w:r w:rsidRPr="009115A7">
        <w:rPr>
          <w:rFonts w:ascii="Qanelas" w:hAnsi="Qanelas"/>
          <w:b/>
          <w:sz w:val="48"/>
          <w:szCs w:val="52"/>
        </w:rPr>
        <w:t xml:space="preserve">WG </w:t>
      </w:r>
      <w:r w:rsidR="00AB701E" w:rsidRPr="009115A7">
        <w:rPr>
          <w:rFonts w:ascii="Qanelas" w:hAnsi="Qanelas"/>
          <w:b/>
          <w:sz w:val="48"/>
          <w:szCs w:val="52"/>
        </w:rPr>
        <w:t>E-mobility</w:t>
      </w:r>
    </w:p>
    <w:p w:rsidR="004F47E1" w:rsidRPr="00D13A23" w:rsidRDefault="004F47E1" w:rsidP="004F47E1">
      <w:pPr>
        <w:pStyle w:val="ToRWGTitle"/>
        <w:jc w:val="center"/>
        <w:rPr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99"/>
        <w:gridCol w:w="4143"/>
      </w:tblGrid>
      <w:tr w:rsidR="00CD1F76" w:rsidRPr="004B2B6A" w:rsidTr="00F13856">
        <w:tc>
          <w:tcPr>
            <w:tcW w:w="5469" w:type="dxa"/>
            <w:shd w:val="clear" w:color="auto" w:fill="auto"/>
          </w:tcPr>
          <w:p w:rsidR="004F47E1" w:rsidRPr="009115A7" w:rsidRDefault="004F47E1" w:rsidP="009115A7">
            <w:pPr>
              <w:pStyle w:val="ToRChairman"/>
              <w:tabs>
                <w:tab w:val="clear" w:pos="1418"/>
                <w:tab w:val="left" w:pos="1560"/>
              </w:tabs>
              <w:rPr>
                <w:rFonts w:ascii="Qanelas" w:hAnsi="Qanelas"/>
                <w:b/>
                <w:szCs w:val="22"/>
              </w:rPr>
            </w:pPr>
            <w:r w:rsidRPr="009115A7">
              <w:rPr>
                <w:rFonts w:ascii="Qanelas" w:hAnsi="Qanelas"/>
                <w:b/>
                <w:szCs w:val="22"/>
              </w:rPr>
              <w:t xml:space="preserve">CHAIR: </w:t>
            </w:r>
          </w:p>
          <w:p w:rsidR="004F47E1" w:rsidRPr="009115A7" w:rsidRDefault="00AB701E" w:rsidP="003A2A56">
            <w:pPr>
              <w:tabs>
                <w:tab w:val="left" w:pos="1560"/>
                <w:tab w:val="left" w:pos="6600"/>
              </w:tabs>
              <w:rPr>
                <w:rFonts w:ascii="Qanelas" w:eastAsia="Times New Roman" w:hAnsi="Qanelas" w:cs="Times New Roman"/>
                <w:b/>
                <w:lang w:eastAsia="en-GB"/>
              </w:rPr>
            </w:pPr>
            <w:r w:rsidRPr="009115A7">
              <w:rPr>
                <w:rFonts w:ascii="Qanelas" w:eastAsia="Times New Roman" w:hAnsi="Qanelas" w:cs="Times New Roman"/>
                <w:b/>
                <w:lang w:eastAsia="en-GB"/>
              </w:rPr>
              <w:t>Elias PÖYRY</w:t>
            </w:r>
            <w:r w:rsidR="00CF22F6" w:rsidRPr="009115A7">
              <w:rPr>
                <w:rFonts w:ascii="Qanelas" w:eastAsia="Times New Roman" w:hAnsi="Qanelas" w:cs="Times New Roman"/>
                <w:b/>
                <w:lang w:eastAsia="en-GB"/>
              </w:rPr>
              <w:t xml:space="preserve"> (FI)</w:t>
            </w:r>
            <w:r w:rsidR="00D75D2A" w:rsidRPr="009115A7">
              <w:rPr>
                <w:rFonts w:ascii="Qanelas" w:eastAsia="Times New Roman" w:hAnsi="Qanelas" w:cs="Times New Roman"/>
                <w:b/>
                <w:lang w:eastAsia="en-GB"/>
              </w:rPr>
              <w:t xml:space="preserve">, </w:t>
            </w:r>
          </w:p>
        </w:tc>
        <w:tc>
          <w:tcPr>
            <w:tcW w:w="4386" w:type="dxa"/>
            <w:shd w:val="clear" w:color="auto" w:fill="auto"/>
          </w:tcPr>
          <w:p w:rsidR="004F47E1" w:rsidRPr="009115A7" w:rsidRDefault="004F47E1" w:rsidP="009115A7">
            <w:pPr>
              <w:tabs>
                <w:tab w:val="left" w:pos="1560"/>
              </w:tabs>
              <w:spacing w:line="240" w:lineRule="auto"/>
              <w:rPr>
                <w:rFonts w:ascii="Qanelas" w:eastAsia="Times New Roman" w:hAnsi="Qanelas" w:cs="Times New Roman"/>
                <w:b/>
                <w:lang w:eastAsia="en-GB"/>
              </w:rPr>
            </w:pPr>
            <w:r w:rsidRPr="009115A7">
              <w:rPr>
                <w:rFonts w:ascii="Qanelas" w:eastAsia="Times New Roman" w:hAnsi="Qanelas" w:cs="Times New Roman"/>
                <w:b/>
                <w:lang w:eastAsia="en-GB"/>
              </w:rPr>
              <w:t xml:space="preserve">SECRETARIAT: </w:t>
            </w:r>
          </w:p>
          <w:p w:rsidR="004F47E1" w:rsidRPr="009115A7" w:rsidRDefault="005C5D19" w:rsidP="009115A7">
            <w:pPr>
              <w:tabs>
                <w:tab w:val="left" w:pos="1560"/>
                <w:tab w:val="left" w:pos="6600"/>
              </w:tabs>
              <w:rPr>
                <w:rFonts w:ascii="Qanelas" w:eastAsia="Times New Roman" w:hAnsi="Qanelas" w:cs="Times New Roman"/>
                <w:b/>
                <w:lang w:eastAsia="en-GB"/>
              </w:rPr>
            </w:pPr>
            <w:r w:rsidRPr="009115A7">
              <w:rPr>
                <w:rFonts w:ascii="Qanelas" w:eastAsia="Times New Roman" w:hAnsi="Qanelas" w:cs="Times New Roman"/>
                <w:b/>
                <w:lang w:eastAsia="en-GB"/>
              </w:rPr>
              <w:t>Dedicated EV advisor (TBD)</w:t>
            </w:r>
          </w:p>
        </w:tc>
      </w:tr>
      <w:tr w:rsidR="00CD1F76" w:rsidRPr="005C073E" w:rsidTr="00F13856">
        <w:tc>
          <w:tcPr>
            <w:tcW w:w="5469" w:type="dxa"/>
            <w:shd w:val="clear" w:color="auto" w:fill="auto"/>
          </w:tcPr>
          <w:p w:rsidR="004F47E1" w:rsidRPr="005C073E" w:rsidRDefault="004F47E1" w:rsidP="009115A7">
            <w:pPr>
              <w:pStyle w:val="ToRChairman"/>
              <w:tabs>
                <w:tab w:val="clear" w:pos="1418"/>
                <w:tab w:val="left" w:pos="1560"/>
              </w:tabs>
              <w:rPr>
                <w:rFonts w:ascii="Qanelas" w:hAnsi="Qanelas"/>
                <w:b/>
                <w:szCs w:val="22"/>
                <w:lang w:val="fr-BE"/>
              </w:rPr>
            </w:pPr>
            <w:r w:rsidRPr="005C073E">
              <w:rPr>
                <w:rFonts w:ascii="Qanelas" w:hAnsi="Qanelas"/>
                <w:b/>
                <w:szCs w:val="22"/>
                <w:lang w:val="fr-BE"/>
              </w:rPr>
              <w:t xml:space="preserve">Vice-CHAIR: </w:t>
            </w:r>
          </w:p>
          <w:p w:rsidR="004F47E1" w:rsidRPr="005C073E" w:rsidRDefault="00CF22F6" w:rsidP="003A2A56">
            <w:pPr>
              <w:tabs>
                <w:tab w:val="left" w:pos="1560"/>
                <w:tab w:val="left" w:pos="6600"/>
              </w:tabs>
              <w:rPr>
                <w:rFonts w:ascii="Qanelas" w:eastAsia="Times New Roman" w:hAnsi="Qanelas" w:cs="Times New Roman"/>
                <w:b/>
                <w:lang w:val="fr-BE" w:eastAsia="en-GB"/>
              </w:rPr>
            </w:pPr>
            <w:r w:rsidRPr="005C073E">
              <w:rPr>
                <w:rFonts w:ascii="Qanelas" w:eastAsia="Times New Roman" w:hAnsi="Qanelas" w:cs="Times New Roman"/>
                <w:b/>
                <w:lang w:val="fr-BE" w:eastAsia="en-GB"/>
              </w:rPr>
              <w:t>Antoine ASLANIDES (FR)</w:t>
            </w:r>
            <w:r w:rsidR="00D75D2A" w:rsidRPr="005C073E">
              <w:rPr>
                <w:rFonts w:ascii="Qanelas" w:eastAsia="Times New Roman" w:hAnsi="Qanelas" w:cs="Times New Roman"/>
                <w:b/>
                <w:lang w:val="fr-BE" w:eastAsia="en-GB"/>
              </w:rPr>
              <w:t xml:space="preserve">, </w:t>
            </w:r>
          </w:p>
        </w:tc>
        <w:tc>
          <w:tcPr>
            <w:tcW w:w="4386" w:type="dxa"/>
            <w:shd w:val="clear" w:color="auto" w:fill="auto"/>
          </w:tcPr>
          <w:p w:rsidR="004F47E1" w:rsidRPr="005C073E" w:rsidRDefault="004F47E1" w:rsidP="009115A7">
            <w:pPr>
              <w:tabs>
                <w:tab w:val="left" w:pos="1560"/>
                <w:tab w:val="left" w:pos="6600"/>
              </w:tabs>
              <w:rPr>
                <w:rFonts w:ascii="Qanelas" w:eastAsia="Times New Roman" w:hAnsi="Qanelas" w:cs="Times New Roman"/>
                <w:b/>
                <w:lang w:val="fr-BE" w:eastAsia="en-GB"/>
              </w:rPr>
            </w:pPr>
          </w:p>
        </w:tc>
      </w:tr>
    </w:tbl>
    <w:p w:rsidR="009115A7" w:rsidRPr="005C073E" w:rsidRDefault="009115A7" w:rsidP="004F47E1">
      <w:pPr>
        <w:tabs>
          <w:tab w:val="left" w:pos="6600"/>
        </w:tabs>
        <w:rPr>
          <w:rFonts w:eastAsia="Times New Roman" w:cs="Times New Roman"/>
          <w:b/>
          <w:color w:val="2C63FE"/>
          <w:sz w:val="24"/>
          <w:szCs w:val="24"/>
          <w:lang w:val="fr-BE" w:eastAsia="en-GB"/>
        </w:rPr>
      </w:pPr>
    </w:p>
    <w:p w:rsidR="004F47E1" w:rsidRPr="004B2B6A" w:rsidRDefault="004F47E1" w:rsidP="004F47E1">
      <w:pPr>
        <w:tabs>
          <w:tab w:val="left" w:pos="6600"/>
        </w:tabs>
        <w:rPr>
          <w:rFonts w:eastAsia="Times New Roman" w:cs="Times New Roman"/>
          <w:b/>
          <w:color w:val="2C63FE"/>
          <w:sz w:val="24"/>
          <w:szCs w:val="24"/>
          <w:lang w:eastAsia="en-GB"/>
        </w:rPr>
      </w:pPr>
      <w:r w:rsidRPr="004B2B6A">
        <w:rPr>
          <w:rFonts w:eastAsia="Times New Roman" w:cs="Times New Roman"/>
          <w:b/>
          <w:color w:val="2C63FE"/>
          <w:sz w:val="24"/>
          <w:szCs w:val="24"/>
          <w:lang w:eastAsia="en-GB"/>
        </w:rPr>
        <w:t>Group Rationale</w:t>
      </w:r>
    </w:p>
    <w:p w:rsidR="005C5D19" w:rsidRPr="000C454E" w:rsidRDefault="005C5D19" w:rsidP="005C5D19">
      <w:pPr>
        <w:jc w:val="both"/>
        <w:outlineLvl w:val="0"/>
      </w:pPr>
      <w:r w:rsidRPr="000C454E">
        <w:t>The core purpose of this group is to facilitate and promote policies supportive for a faster deployment of electrification of road</w:t>
      </w:r>
      <w:r w:rsidR="00BA3F6C" w:rsidRPr="000C454E">
        <w:t xml:space="preserve"> &amp; rail</w:t>
      </w:r>
      <w:r w:rsidRPr="000C454E">
        <w:t xml:space="preserve"> transport. Further electrification of maritime transport and aviation (technologies at airports, ground operations) represent smaller but important additional benefits. </w:t>
      </w:r>
      <w:r w:rsidR="003347C8" w:rsidRPr="000C454E">
        <w:t xml:space="preserve">The group shall also develop &amp; promote material showing how electric vehicles </w:t>
      </w:r>
      <w:r w:rsidR="0046530A" w:rsidRPr="000C454E">
        <w:t xml:space="preserve">and charging infrastructure </w:t>
      </w:r>
      <w:r w:rsidR="003347C8" w:rsidRPr="000C454E">
        <w:t>can support the electricity sector in its energy transition by facilitating renewables integration, and boost trends towards sustainable transport by reducing emissions, air pollutants and noise levels.</w:t>
      </w:r>
    </w:p>
    <w:p w:rsidR="005C5D19" w:rsidRPr="000C454E" w:rsidRDefault="005C5D19" w:rsidP="005C5D19">
      <w:pPr>
        <w:jc w:val="both"/>
        <w:outlineLvl w:val="0"/>
      </w:pPr>
      <w:r w:rsidRPr="000C454E">
        <w:t xml:space="preserve">As utilities are increasingly engaging in </w:t>
      </w:r>
      <w:proofErr w:type="spellStart"/>
      <w:r w:rsidRPr="000C454E">
        <w:t>electromobility</w:t>
      </w:r>
      <w:proofErr w:type="spellEnd"/>
      <w:r w:rsidRPr="000C454E">
        <w:t xml:space="preserve"> &amp; related infrastructure the group should also serve as a platform in which </w:t>
      </w:r>
      <w:r w:rsidR="00B14539" w:rsidRPr="000C454E">
        <w:t xml:space="preserve">information &amp; </w:t>
      </w:r>
      <w:r w:rsidR="003347C8" w:rsidRPr="000C454E">
        <w:t>business intelligence</w:t>
      </w:r>
      <w:r w:rsidR="00B14539" w:rsidRPr="000C454E">
        <w:t xml:space="preserve"> </w:t>
      </w:r>
      <w:r w:rsidR="003347C8" w:rsidRPr="000C454E">
        <w:t xml:space="preserve">related to electro-mobility </w:t>
      </w:r>
      <w:r w:rsidR="00B14539" w:rsidRPr="000C454E">
        <w:t xml:space="preserve">can be </w:t>
      </w:r>
      <w:r w:rsidR="0046530A" w:rsidRPr="000C454E">
        <w:t xml:space="preserve">discussed, exchanged </w:t>
      </w:r>
      <w:r w:rsidR="00B14539" w:rsidRPr="000C454E">
        <w:t xml:space="preserve">and used for policy advocacy. </w:t>
      </w:r>
    </w:p>
    <w:p w:rsidR="00580C03" w:rsidRPr="004B2B6A" w:rsidRDefault="00580C03" w:rsidP="00580C03">
      <w:pPr>
        <w:pStyle w:val="ToRWGTitle"/>
        <w:rPr>
          <w:rFonts w:eastAsiaTheme="minorEastAsia" w:cs="EDP Preon Regular"/>
          <w:b/>
          <w:color w:val="2C63FF"/>
          <w:kern w:val="24"/>
          <w:sz w:val="24"/>
          <w:szCs w:val="50"/>
        </w:rPr>
      </w:pPr>
      <w:r w:rsidRPr="004B2B6A">
        <w:rPr>
          <w:rFonts w:eastAsiaTheme="minorEastAsia" w:cs="EDP Preon Regular"/>
          <w:b/>
          <w:color w:val="2C63FF"/>
          <w:kern w:val="24"/>
          <w:sz w:val="24"/>
          <w:szCs w:val="50"/>
        </w:rPr>
        <w:t>WG Members</w:t>
      </w:r>
    </w:p>
    <w:p w:rsidR="00B358E8" w:rsidRPr="000C454E" w:rsidRDefault="00CF22F6" w:rsidP="005C073E">
      <w:pPr>
        <w:jc w:val="both"/>
        <w:outlineLvl w:val="0"/>
      </w:pPr>
      <w:r w:rsidRPr="000C454E">
        <w:t xml:space="preserve">The membership of the WG is open to representatives of national electricity associations </w:t>
      </w:r>
      <w:r w:rsidR="00D13A23" w:rsidRPr="000C454E">
        <w:t>with determined</w:t>
      </w:r>
      <w:r w:rsidRPr="000C454E">
        <w:t xml:space="preserve"> </w:t>
      </w:r>
      <w:r w:rsidR="00F24118" w:rsidRPr="000C454E">
        <w:t xml:space="preserve">interest in &amp; knowledge </w:t>
      </w:r>
      <w:r w:rsidR="00D13A23" w:rsidRPr="000C454E">
        <w:t>about electro</w:t>
      </w:r>
      <w:r w:rsidRPr="000C454E">
        <w:t>-mobility</w:t>
      </w:r>
      <w:r w:rsidR="00F24118" w:rsidRPr="000C454E">
        <w:t xml:space="preserve"> &amp; related infrastructure</w:t>
      </w:r>
      <w:r w:rsidR="006E7985" w:rsidRPr="000C454E">
        <w:t xml:space="preserve"> including DSOs</w:t>
      </w:r>
      <w:r w:rsidRPr="000C454E">
        <w:t xml:space="preserve">. The group </w:t>
      </w:r>
      <w:r w:rsidR="002D3063" w:rsidRPr="000C454E">
        <w:t>has strong transversal interest and</w:t>
      </w:r>
      <w:r w:rsidR="00CC5AF3" w:rsidRPr="000C454E">
        <w:t xml:space="preserve"> will include members from other</w:t>
      </w:r>
      <w:r w:rsidR="002D3063" w:rsidRPr="000C454E">
        <w:t xml:space="preserve"> </w:t>
      </w:r>
      <w:r w:rsidR="00D13A23" w:rsidRPr="000C454E">
        <w:t>Committees although</w:t>
      </w:r>
      <w:r w:rsidRPr="000C454E">
        <w:t xml:space="preserve"> it will officially report to the Electrification &amp; Sustainability Committee.</w:t>
      </w:r>
    </w:p>
    <w:p w:rsidR="00580C03" w:rsidRPr="004B2B6A" w:rsidRDefault="00CF22F6" w:rsidP="00720EC1">
      <w:pPr>
        <w:rPr>
          <w:color w:val="262626" w:themeColor="text1" w:themeTint="D9"/>
        </w:rPr>
      </w:pPr>
      <w:r w:rsidRPr="004B2B6A">
        <w:rPr>
          <w:color w:val="262626" w:themeColor="text1" w:themeTint="D9"/>
        </w:rPr>
        <w:t xml:space="preserve"> </w:t>
      </w:r>
      <w:r w:rsidR="00580C03" w:rsidRPr="004B2B6A">
        <w:rPr>
          <w:rFonts w:eastAsiaTheme="minorEastAsia" w:cs="EDP Preon Regular"/>
          <w:b/>
          <w:color w:val="2C63FF"/>
          <w:kern w:val="24"/>
          <w:sz w:val="24"/>
          <w:szCs w:val="50"/>
        </w:rPr>
        <w:t xml:space="preserve">Transversal </w:t>
      </w:r>
      <w:r w:rsidR="00AD67A7">
        <w:rPr>
          <w:rFonts w:eastAsiaTheme="minorEastAsia" w:cs="EDP Preon Regular"/>
          <w:b/>
          <w:color w:val="2C63FF"/>
          <w:kern w:val="24"/>
          <w:sz w:val="24"/>
          <w:szCs w:val="50"/>
        </w:rPr>
        <w:t>Eurelectric</w:t>
      </w:r>
      <w:r w:rsidR="00580C03" w:rsidRPr="004B2B6A">
        <w:rPr>
          <w:rFonts w:eastAsiaTheme="minorEastAsia" w:cs="EDP Preon Regular"/>
          <w:b/>
          <w:color w:val="2C63FF"/>
          <w:kern w:val="24"/>
          <w:sz w:val="24"/>
          <w:szCs w:val="50"/>
        </w:rPr>
        <w:t xml:space="preserve"> Cooperation</w:t>
      </w:r>
    </w:p>
    <w:p w:rsidR="00580C03" w:rsidRPr="000C454E" w:rsidRDefault="00580C03" w:rsidP="00580C03">
      <w:pPr>
        <w:outlineLvl w:val="0"/>
      </w:pPr>
      <w:r w:rsidRPr="000C454E">
        <w:t xml:space="preserve">The WG </w:t>
      </w:r>
      <w:r w:rsidR="002D3063" w:rsidRPr="000C454E">
        <w:t>E-mobility</w:t>
      </w:r>
      <w:r w:rsidRPr="000C454E">
        <w:t xml:space="preserve"> closely cooperates with: </w:t>
      </w:r>
    </w:p>
    <w:p w:rsidR="00580C03" w:rsidRPr="000C454E" w:rsidRDefault="00580C03" w:rsidP="00D6739E">
      <w:pPr>
        <w:pStyle w:val="ListParagraph"/>
        <w:numPr>
          <w:ilvl w:val="0"/>
          <w:numId w:val="21"/>
        </w:numPr>
        <w:outlineLvl w:val="0"/>
        <w:rPr>
          <w:rFonts w:asciiTheme="minorHAnsi" w:eastAsiaTheme="minorHAnsi" w:hAnsiTheme="minorHAnsi" w:cstheme="minorHAnsi"/>
          <w:sz w:val="22"/>
          <w:szCs w:val="22"/>
        </w:rPr>
      </w:pPr>
      <w:r w:rsidRPr="000C454E">
        <w:rPr>
          <w:rFonts w:asciiTheme="minorHAnsi" w:eastAsiaTheme="minorHAnsi" w:hAnsiTheme="minorHAnsi" w:cstheme="minorHAnsi"/>
          <w:sz w:val="22"/>
          <w:szCs w:val="22"/>
        </w:rPr>
        <w:t xml:space="preserve">The </w:t>
      </w:r>
      <w:r w:rsidR="00D920E1" w:rsidRPr="000C454E">
        <w:rPr>
          <w:rFonts w:asciiTheme="minorHAnsi" w:eastAsiaTheme="minorHAnsi" w:hAnsiTheme="minorHAnsi" w:cstheme="minorHAnsi"/>
          <w:sz w:val="22"/>
          <w:szCs w:val="22"/>
        </w:rPr>
        <w:t>Distribution &amp; Market Facilitation</w:t>
      </w:r>
      <w:r w:rsidRPr="000C454E">
        <w:rPr>
          <w:rFonts w:asciiTheme="minorHAnsi" w:eastAsiaTheme="minorHAnsi" w:hAnsiTheme="minorHAnsi" w:cstheme="minorHAnsi"/>
          <w:sz w:val="22"/>
          <w:szCs w:val="22"/>
        </w:rPr>
        <w:t xml:space="preserve"> Committee on </w:t>
      </w:r>
      <w:r w:rsidR="00C1405B" w:rsidRPr="000C454E">
        <w:rPr>
          <w:rFonts w:asciiTheme="minorHAnsi" w:eastAsiaTheme="minorHAnsi" w:hAnsiTheme="minorHAnsi" w:cstheme="minorHAnsi"/>
          <w:sz w:val="22"/>
          <w:szCs w:val="22"/>
        </w:rPr>
        <w:t xml:space="preserve">smart charging and integration of electric vehicles </w:t>
      </w:r>
      <w:r w:rsidR="00C05FD0" w:rsidRPr="000C454E">
        <w:rPr>
          <w:rFonts w:asciiTheme="minorHAnsi" w:eastAsiaTheme="minorHAnsi" w:hAnsiTheme="minorHAnsi" w:cstheme="minorHAnsi"/>
          <w:sz w:val="22"/>
          <w:szCs w:val="22"/>
        </w:rPr>
        <w:t>an</w:t>
      </w:r>
      <w:r w:rsidR="003B49A5" w:rsidRPr="000C454E">
        <w:rPr>
          <w:rFonts w:asciiTheme="minorHAnsi" w:eastAsiaTheme="minorHAnsi" w:hAnsiTheme="minorHAnsi" w:cstheme="minorHAnsi"/>
          <w:sz w:val="22"/>
          <w:szCs w:val="22"/>
        </w:rPr>
        <w:t xml:space="preserve">d their charging infrastructure </w:t>
      </w:r>
      <w:r w:rsidR="00C1405B" w:rsidRPr="000C454E">
        <w:rPr>
          <w:rFonts w:asciiTheme="minorHAnsi" w:eastAsiaTheme="minorHAnsi" w:hAnsiTheme="minorHAnsi" w:cstheme="minorHAnsi"/>
          <w:sz w:val="22"/>
          <w:szCs w:val="22"/>
        </w:rPr>
        <w:t>into the electricity grid</w:t>
      </w:r>
    </w:p>
    <w:p w:rsidR="00D920E1" w:rsidRPr="000C454E" w:rsidRDefault="00D920E1" w:rsidP="00D6739E">
      <w:pPr>
        <w:pStyle w:val="ListParagraph"/>
        <w:numPr>
          <w:ilvl w:val="0"/>
          <w:numId w:val="21"/>
        </w:numPr>
        <w:outlineLvl w:val="0"/>
        <w:rPr>
          <w:rFonts w:asciiTheme="minorHAnsi" w:eastAsiaTheme="minorHAnsi" w:hAnsiTheme="minorHAnsi" w:cstheme="minorHAnsi"/>
          <w:sz w:val="22"/>
          <w:szCs w:val="22"/>
        </w:rPr>
      </w:pPr>
      <w:r w:rsidRPr="000C454E">
        <w:rPr>
          <w:rFonts w:asciiTheme="minorHAnsi" w:eastAsiaTheme="minorHAnsi" w:hAnsiTheme="minorHAnsi" w:cstheme="minorHAnsi"/>
          <w:sz w:val="22"/>
          <w:szCs w:val="22"/>
        </w:rPr>
        <w:t xml:space="preserve">The Customers &amp; Retail </w:t>
      </w:r>
      <w:r w:rsidR="00492984" w:rsidRPr="000C454E">
        <w:rPr>
          <w:rFonts w:asciiTheme="minorHAnsi" w:eastAsiaTheme="minorHAnsi" w:hAnsiTheme="minorHAnsi" w:cstheme="minorHAnsi"/>
          <w:sz w:val="22"/>
          <w:szCs w:val="22"/>
        </w:rPr>
        <w:t xml:space="preserve">Services </w:t>
      </w:r>
      <w:r w:rsidRPr="000C454E">
        <w:rPr>
          <w:rFonts w:asciiTheme="minorHAnsi" w:eastAsiaTheme="minorHAnsi" w:hAnsiTheme="minorHAnsi" w:cstheme="minorHAnsi"/>
          <w:sz w:val="22"/>
          <w:szCs w:val="22"/>
        </w:rPr>
        <w:t xml:space="preserve">Committee on </w:t>
      </w:r>
      <w:r w:rsidR="00C1405B" w:rsidRPr="000C454E">
        <w:rPr>
          <w:rFonts w:asciiTheme="minorHAnsi" w:eastAsiaTheme="minorHAnsi" w:hAnsiTheme="minorHAnsi" w:cstheme="minorHAnsi"/>
          <w:sz w:val="22"/>
          <w:szCs w:val="22"/>
        </w:rPr>
        <w:t>interoperability and data ownership issues</w:t>
      </w:r>
      <w:r w:rsidR="0020464E" w:rsidRPr="000C454E">
        <w:rPr>
          <w:rFonts w:asciiTheme="minorHAnsi" w:eastAsiaTheme="minorHAnsi" w:hAnsiTheme="minorHAnsi" w:cstheme="minorHAnsi"/>
          <w:sz w:val="22"/>
          <w:szCs w:val="22"/>
        </w:rPr>
        <w:t xml:space="preserve"> as well as new services</w:t>
      </w:r>
    </w:p>
    <w:p w:rsidR="00492984" w:rsidRPr="005465BC" w:rsidRDefault="00492984" w:rsidP="00D6739E">
      <w:pPr>
        <w:pStyle w:val="ListParagraph"/>
        <w:numPr>
          <w:ilvl w:val="0"/>
          <w:numId w:val="21"/>
        </w:numPr>
        <w:outlineLvl w:val="0"/>
        <w:rPr>
          <w:rFonts w:asciiTheme="minorHAnsi" w:eastAsiaTheme="minorHAnsi" w:hAnsiTheme="minorHAnsi" w:cstheme="minorHAnsi"/>
          <w:sz w:val="22"/>
          <w:szCs w:val="22"/>
        </w:rPr>
      </w:pPr>
      <w:r w:rsidRPr="005465BC">
        <w:rPr>
          <w:rFonts w:asciiTheme="minorHAnsi" w:eastAsiaTheme="minorHAnsi" w:hAnsiTheme="minorHAnsi" w:cstheme="minorHAnsi"/>
          <w:sz w:val="22"/>
          <w:szCs w:val="22"/>
        </w:rPr>
        <w:lastRenderedPageBreak/>
        <w:t>The Generation &amp; Environment Committee on storage issues.</w:t>
      </w:r>
    </w:p>
    <w:p w:rsidR="0020464E" w:rsidRPr="005465BC" w:rsidRDefault="0020464E" w:rsidP="00D6739E">
      <w:pPr>
        <w:pStyle w:val="ListParagraph"/>
        <w:numPr>
          <w:ilvl w:val="0"/>
          <w:numId w:val="21"/>
        </w:numPr>
        <w:outlineLvl w:val="0"/>
        <w:rPr>
          <w:rFonts w:asciiTheme="minorHAnsi" w:eastAsiaTheme="minorHAnsi" w:hAnsiTheme="minorHAnsi" w:cstheme="minorHAnsi"/>
          <w:sz w:val="22"/>
          <w:szCs w:val="22"/>
        </w:rPr>
      </w:pPr>
      <w:r w:rsidRPr="005465BC">
        <w:rPr>
          <w:rFonts w:asciiTheme="minorHAnsi" w:eastAsiaTheme="minorHAnsi" w:hAnsiTheme="minorHAnsi" w:cstheme="minorHAnsi"/>
          <w:sz w:val="22"/>
          <w:szCs w:val="22"/>
        </w:rPr>
        <w:t xml:space="preserve">WG Innovation </w:t>
      </w:r>
    </w:p>
    <w:p w:rsidR="00AD67A7" w:rsidRDefault="00AD67A7" w:rsidP="00884EE1">
      <w:pPr>
        <w:pStyle w:val="ToRWGTitle"/>
        <w:rPr>
          <w:rFonts w:eastAsiaTheme="minorEastAsia" w:cs="EDP Preon Regular"/>
          <w:b/>
          <w:color w:val="2C63FF"/>
          <w:kern w:val="24"/>
          <w:sz w:val="24"/>
          <w:szCs w:val="50"/>
        </w:rPr>
      </w:pPr>
    </w:p>
    <w:p w:rsidR="00884EE1" w:rsidRDefault="00580C03" w:rsidP="00884EE1">
      <w:pPr>
        <w:pStyle w:val="ToRWGTitle"/>
        <w:rPr>
          <w:rFonts w:eastAsiaTheme="minorEastAsia" w:cs="EDP Preon Regular"/>
          <w:b/>
          <w:color w:val="2C63FF"/>
          <w:kern w:val="24"/>
          <w:sz w:val="24"/>
          <w:szCs w:val="50"/>
        </w:rPr>
      </w:pPr>
      <w:r w:rsidRPr="004B2B6A">
        <w:rPr>
          <w:rFonts w:eastAsiaTheme="minorEastAsia" w:cs="EDP Preon Regular"/>
          <w:b/>
          <w:color w:val="2C63FF"/>
          <w:kern w:val="24"/>
          <w:sz w:val="24"/>
          <w:szCs w:val="50"/>
        </w:rPr>
        <w:t>European and international liaison</w:t>
      </w:r>
    </w:p>
    <w:p w:rsidR="00580C03" w:rsidRPr="000C454E" w:rsidRDefault="00580C03" w:rsidP="009115A7">
      <w:pPr>
        <w:pStyle w:val="ToRWGTitle"/>
        <w:spacing w:after="0"/>
      </w:pPr>
      <w:r w:rsidRPr="000C454E">
        <w:t xml:space="preserve">DG Energy (ENER), </w:t>
      </w:r>
      <w:r w:rsidR="00D920E1" w:rsidRPr="000C454E">
        <w:t xml:space="preserve">DG Mobility and Transport (MOVE), </w:t>
      </w:r>
      <w:r w:rsidRPr="000C454E">
        <w:t>DG Justice &amp; Consumers (JUST),</w:t>
      </w:r>
      <w:r w:rsidR="0068331C" w:rsidRPr="000C454E">
        <w:t xml:space="preserve"> DG Internal Market, Industry, Entrepreneurship and SMEs (GROW),</w:t>
      </w:r>
      <w:r w:rsidRPr="000C454E">
        <w:t xml:space="preserve"> European Parliament’s Indust</w:t>
      </w:r>
      <w:r w:rsidR="00D920E1" w:rsidRPr="000C454E">
        <w:t>ry, Research &amp; Energy (ITRE), Transport &amp; Tourism (TRAN), Environment, Public Health &amp; Food Safety (ENVI)</w:t>
      </w:r>
      <w:r w:rsidRPr="000C454E">
        <w:t xml:space="preserve"> Committees, </w:t>
      </w:r>
      <w:r w:rsidR="00C1405B" w:rsidRPr="000C454E">
        <w:t>Sustainable Transport Forum (STF)</w:t>
      </w:r>
      <w:r w:rsidR="00C05FD0" w:rsidRPr="000C454E">
        <w:t xml:space="preserve">, ACER, NRAs, ENTSO-E and DSO relevant organisations. </w:t>
      </w:r>
    </w:p>
    <w:p w:rsidR="009115A7" w:rsidRPr="005465BC" w:rsidRDefault="009115A7" w:rsidP="007B7EDF">
      <w:pPr>
        <w:rPr>
          <w:rFonts w:eastAsiaTheme="minorEastAsia" w:cs="EDP Preon Regular"/>
          <w:b/>
          <w:kern w:val="24"/>
          <w:sz w:val="24"/>
          <w:szCs w:val="50"/>
        </w:rPr>
      </w:pPr>
    </w:p>
    <w:p w:rsidR="007B7EDF" w:rsidRPr="004B2B6A" w:rsidRDefault="007B7EDF" w:rsidP="007B7EDF">
      <w:pPr>
        <w:rPr>
          <w:rFonts w:eastAsiaTheme="minorEastAsia" w:cs="EDP Preon Regular"/>
          <w:b/>
          <w:color w:val="2C63FF"/>
          <w:kern w:val="24"/>
          <w:sz w:val="24"/>
          <w:szCs w:val="50"/>
        </w:rPr>
      </w:pPr>
      <w:r w:rsidRPr="004B2B6A">
        <w:rPr>
          <w:rFonts w:eastAsiaTheme="minorEastAsia" w:cs="EDP Preon Regular"/>
          <w:b/>
          <w:color w:val="2C63FF"/>
          <w:kern w:val="24"/>
          <w:sz w:val="24"/>
          <w:szCs w:val="50"/>
        </w:rPr>
        <w:t xml:space="preserve">Work Programme </w:t>
      </w:r>
    </w:p>
    <w:p w:rsidR="00884EE1" w:rsidRPr="000C454E" w:rsidRDefault="00884EE1" w:rsidP="00C10C70">
      <w:pPr>
        <w:jc w:val="both"/>
        <w:outlineLvl w:val="0"/>
      </w:pPr>
      <w:r w:rsidRPr="000C454E">
        <w:t>The Chairmanship along with the Secretariat, on a yearly basis and towards the end of each year, submits a work programme proposal with clearly defined priorities for consideration to the WG, together with appropriate justification on added-value. These priorities shall be in line with the Board’s priorities, the respective Committees’ work programme and take into account the foreseen resources available at the Secretariat side. Fol</w:t>
      </w:r>
      <w:bookmarkStart w:id="0" w:name="_GoBack"/>
      <w:bookmarkEnd w:id="0"/>
      <w:r w:rsidRPr="000C454E">
        <w:t xml:space="preserve">lowing this process, the Chairmanship along with the Secretariat delivers for approval a final proposal to the respective Committee. </w:t>
      </w:r>
    </w:p>
    <w:p w:rsidR="009115A7" w:rsidRPr="005465BC" w:rsidRDefault="009115A7" w:rsidP="009115A7">
      <w:pPr>
        <w:rPr>
          <w:rFonts w:eastAsia="Times New Roman" w:cs="Times New Roman"/>
          <w:b/>
          <w:sz w:val="24"/>
          <w:szCs w:val="24"/>
          <w:lang w:eastAsia="en-GB"/>
        </w:rPr>
      </w:pPr>
      <w:r w:rsidRPr="005465BC">
        <w:rPr>
          <w:rFonts w:eastAsia="Times New Roman" w:cs="Times New Roman"/>
          <w:b/>
          <w:sz w:val="24"/>
          <w:szCs w:val="24"/>
          <w:lang w:eastAsia="en-GB"/>
        </w:rPr>
        <w:br w:type="page"/>
      </w:r>
    </w:p>
    <w:p w:rsidR="004F47E1" w:rsidRPr="004B2B6A" w:rsidRDefault="00884EE1" w:rsidP="004F47E1">
      <w:pPr>
        <w:tabs>
          <w:tab w:val="left" w:pos="6600"/>
        </w:tabs>
        <w:rPr>
          <w:rFonts w:eastAsia="Times New Roman" w:cs="Times New Roman"/>
          <w:b/>
          <w:color w:val="2C63FE"/>
          <w:sz w:val="24"/>
          <w:szCs w:val="24"/>
          <w:lang w:eastAsia="en-GB"/>
        </w:rPr>
      </w:pPr>
      <w:r>
        <w:rPr>
          <w:rFonts w:eastAsia="Times New Roman" w:cs="Times New Roman"/>
          <w:b/>
          <w:color w:val="2C63FE"/>
          <w:sz w:val="24"/>
          <w:szCs w:val="24"/>
          <w:lang w:eastAsia="en-GB"/>
        </w:rPr>
        <w:lastRenderedPageBreak/>
        <w:t xml:space="preserve">Annex </w:t>
      </w:r>
      <w:r w:rsidR="004F47E1" w:rsidRPr="004B2B6A">
        <w:rPr>
          <w:rFonts w:eastAsia="Times New Roman" w:cs="Times New Roman"/>
          <w:b/>
          <w:color w:val="2C63FE"/>
          <w:sz w:val="24"/>
          <w:szCs w:val="24"/>
          <w:lang w:eastAsia="en-GB"/>
        </w:rPr>
        <w:t>Work programme 2018-19</w:t>
      </w:r>
      <w:r w:rsidR="00940C5B" w:rsidRPr="004B2B6A">
        <w:rPr>
          <w:rFonts w:eastAsia="Times New Roman" w:cs="Times New Roman"/>
          <w:b/>
          <w:color w:val="2C63FE"/>
          <w:sz w:val="24"/>
          <w:szCs w:val="24"/>
          <w:lang w:eastAsia="en-GB"/>
        </w:rPr>
        <w:t xml:space="preserve"> </w:t>
      </w:r>
    </w:p>
    <w:tbl>
      <w:tblPr>
        <w:tblW w:w="9096" w:type="dxa"/>
        <w:tblBorders>
          <w:top w:val="single" w:sz="4" w:space="0" w:color="003399"/>
          <w:left w:val="single" w:sz="4" w:space="0" w:color="003399"/>
          <w:bottom w:val="single" w:sz="4" w:space="0" w:color="003399"/>
          <w:right w:val="single" w:sz="4" w:space="0" w:color="003399"/>
          <w:insideH w:val="single" w:sz="4" w:space="0" w:color="003399"/>
          <w:insideV w:val="single" w:sz="4" w:space="0" w:color="003399"/>
        </w:tblBorders>
        <w:tblLayout w:type="fixed"/>
        <w:tblLook w:val="04A0" w:firstRow="1" w:lastRow="0" w:firstColumn="1" w:lastColumn="0" w:noHBand="0" w:noVBand="1"/>
      </w:tblPr>
      <w:tblGrid>
        <w:gridCol w:w="2831"/>
        <w:gridCol w:w="1701"/>
        <w:gridCol w:w="1246"/>
        <w:gridCol w:w="1062"/>
        <w:gridCol w:w="2256"/>
      </w:tblGrid>
      <w:tr w:rsidR="003E52DC" w:rsidRPr="004B2B6A" w:rsidTr="003E52DC">
        <w:tc>
          <w:tcPr>
            <w:tcW w:w="2831" w:type="dxa"/>
            <w:shd w:val="clear" w:color="auto" w:fill="2C63FE"/>
          </w:tcPr>
          <w:p w:rsidR="003E52DC" w:rsidRPr="004B2B6A" w:rsidRDefault="003E52DC" w:rsidP="00F13856">
            <w:pPr>
              <w:snapToGrid w:val="0"/>
              <w:rPr>
                <w:b/>
                <w:color w:val="FFFFFF"/>
              </w:rPr>
            </w:pPr>
            <w:r w:rsidRPr="004B2B6A">
              <w:rPr>
                <w:b/>
                <w:color w:val="FFFFFF"/>
              </w:rPr>
              <w:t>Deliverable</w:t>
            </w:r>
          </w:p>
        </w:tc>
        <w:tc>
          <w:tcPr>
            <w:tcW w:w="1701" w:type="dxa"/>
            <w:shd w:val="clear" w:color="auto" w:fill="2C63FE"/>
          </w:tcPr>
          <w:p w:rsidR="003E52DC" w:rsidRPr="004B2B6A" w:rsidRDefault="003E52DC" w:rsidP="00F13856">
            <w:pPr>
              <w:snapToGrid w:val="0"/>
              <w:rPr>
                <w:b/>
                <w:color w:val="FFFFFF"/>
              </w:rPr>
            </w:pPr>
            <w:r w:rsidRPr="004B2B6A">
              <w:rPr>
                <w:b/>
                <w:color w:val="FFFFFF"/>
              </w:rPr>
              <w:t>Deliverable Type</w:t>
            </w:r>
          </w:p>
        </w:tc>
        <w:tc>
          <w:tcPr>
            <w:tcW w:w="1246" w:type="dxa"/>
            <w:shd w:val="clear" w:color="auto" w:fill="2C63FE"/>
          </w:tcPr>
          <w:p w:rsidR="003E52DC" w:rsidRPr="004B2B6A" w:rsidRDefault="003E52DC" w:rsidP="00F13856">
            <w:pPr>
              <w:snapToGrid w:val="0"/>
              <w:rPr>
                <w:b/>
                <w:color w:val="FFFFFF"/>
              </w:rPr>
            </w:pPr>
            <w:r w:rsidRPr="004B2B6A">
              <w:rPr>
                <w:b/>
                <w:color w:val="FFFFFF"/>
              </w:rPr>
              <w:t>Anticipated Start Date:</w:t>
            </w:r>
          </w:p>
        </w:tc>
        <w:tc>
          <w:tcPr>
            <w:tcW w:w="1062" w:type="dxa"/>
            <w:shd w:val="clear" w:color="auto" w:fill="2C63FE"/>
          </w:tcPr>
          <w:p w:rsidR="003E52DC" w:rsidRPr="004B2B6A" w:rsidRDefault="003E52DC" w:rsidP="00F13856">
            <w:pPr>
              <w:snapToGrid w:val="0"/>
              <w:rPr>
                <w:b/>
                <w:color w:val="FFFFFF"/>
              </w:rPr>
            </w:pPr>
            <w:r w:rsidRPr="004B2B6A">
              <w:rPr>
                <w:b/>
                <w:color w:val="FFFFFF"/>
              </w:rPr>
              <w:t>Anticipated</w:t>
            </w:r>
            <w:r w:rsidRPr="004B2B6A">
              <w:rPr>
                <w:b/>
                <w:color w:val="FFFFFF"/>
              </w:rPr>
              <w:br/>
              <w:t>Delivery Date:</w:t>
            </w:r>
          </w:p>
        </w:tc>
        <w:tc>
          <w:tcPr>
            <w:tcW w:w="2256" w:type="dxa"/>
            <w:shd w:val="clear" w:color="auto" w:fill="2C63FE"/>
          </w:tcPr>
          <w:p w:rsidR="003E52DC" w:rsidRPr="004B2B6A" w:rsidRDefault="003E52DC" w:rsidP="00580C03">
            <w:pPr>
              <w:snapToGrid w:val="0"/>
              <w:rPr>
                <w:b/>
                <w:color w:val="FFFFFF"/>
              </w:rPr>
            </w:pPr>
            <w:r w:rsidRPr="004B2B6A">
              <w:rPr>
                <w:b/>
                <w:color w:val="FFFFFF"/>
              </w:rPr>
              <w:t xml:space="preserve">Stakeholders/External parties to be influenced </w:t>
            </w:r>
          </w:p>
        </w:tc>
      </w:tr>
      <w:tr w:rsidR="003E52DC" w:rsidRPr="004B2B6A" w:rsidTr="003E52DC">
        <w:tc>
          <w:tcPr>
            <w:tcW w:w="2831" w:type="dxa"/>
            <w:shd w:val="clear" w:color="auto" w:fill="auto"/>
          </w:tcPr>
          <w:p w:rsidR="003E52DC" w:rsidRPr="001C2193" w:rsidRDefault="003E52DC" w:rsidP="00E70689">
            <w:pPr>
              <w:outlineLvl w:val="0"/>
              <w:rPr>
                <w:color w:val="262626"/>
              </w:rPr>
            </w:pPr>
            <w:r w:rsidRPr="001C2193">
              <w:rPr>
                <w:color w:val="262626"/>
              </w:rPr>
              <w:t>Campaign on E-mobility through the Mobility Package</w:t>
            </w:r>
          </w:p>
        </w:tc>
        <w:tc>
          <w:tcPr>
            <w:tcW w:w="1701" w:type="dxa"/>
          </w:tcPr>
          <w:p w:rsidR="003E52DC" w:rsidRPr="004B2B6A" w:rsidRDefault="003E52DC" w:rsidP="00446C3F">
            <w:pPr>
              <w:spacing w:after="0" w:line="240" w:lineRule="auto"/>
              <w:jc w:val="both"/>
              <w:outlineLvl w:val="0"/>
              <w:rPr>
                <w:rFonts w:eastAsia="Calibri" w:cs="Calibri"/>
                <w:color w:val="404040"/>
              </w:rPr>
            </w:pPr>
            <w:r w:rsidRPr="004B2B6A">
              <w:rPr>
                <w:rFonts w:eastAsia="Calibri" w:cs="Calibri"/>
                <w:color w:val="404040"/>
              </w:rPr>
              <w:t>Position</w:t>
            </w:r>
            <w:r>
              <w:rPr>
                <w:rFonts w:eastAsia="Calibri" w:cs="Calibri"/>
                <w:color w:val="404040"/>
              </w:rPr>
              <w:t xml:space="preserve"> papers, decarbonisation study, </w:t>
            </w:r>
            <w:r w:rsidRPr="004B2B6A">
              <w:rPr>
                <w:rFonts w:eastAsia="Calibri" w:cs="Calibri"/>
                <w:color w:val="404040"/>
              </w:rPr>
              <w:t>joint statements, initiatives with Electrification Alliance</w:t>
            </w:r>
          </w:p>
        </w:tc>
        <w:tc>
          <w:tcPr>
            <w:tcW w:w="1246" w:type="dxa"/>
          </w:tcPr>
          <w:p w:rsidR="003E52DC" w:rsidRPr="004B2B6A" w:rsidRDefault="003E52DC" w:rsidP="00E70689">
            <w:pPr>
              <w:snapToGrid w:val="0"/>
              <w:rPr>
                <w:rFonts w:eastAsia="Calibri" w:cs="Calibri"/>
                <w:color w:val="404040"/>
              </w:rPr>
            </w:pPr>
            <w:r w:rsidRPr="004B2B6A">
              <w:rPr>
                <w:rFonts w:eastAsia="Calibri" w:cs="Calibri"/>
                <w:color w:val="404040"/>
              </w:rPr>
              <w:t>2017</w:t>
            </w:r>
          </w:p>
        </w:tc>
        <w:tc>
          <w:tcPr>
            <w:tcW w:w="1062" w:type="dxa"/>
            <w:shd w:val="clear" w:color="auto" w:fill="auto"/>
          </w:tcPr>
          <w:p w:rsidR="003E52DC" w:rsidRPr="004B2B6A" w:rsidRDefault="003E52DC" w:rsidP="00E70689">
            <w:pPr>
              <w:snapToGrid w:val="0"/>
              <w:rPr>
                <w:rFonts w:eastAsia="Calibri" w:cs="Calibri"/>
                <w:color w:val="404040"/>
              </w:rPr>
            </w:pPr>
            <w:r w:rsidRPr="004B2B6A">
              <w:rPr>
                <w:rFonts w:eastAsia="Calibri" w:cs="Calibri"/>
                <w:color w:val="404040"/>
              </w:rPr>
              <w:t>2019</w:t>
            </w:r>
          </w:p>
        </w:tc>
        <w:tc>
          <w:tcPr>
            <w:tcW w:w="2256" w:type="dxa"/>
          </w:tcPr>
          <w:p w:rsidR="003E52DC" w:rsidRPr="004B2B6A" w:rsidRDefault="003E52DC" w:rsidP="00E70689">
            <w:pPr>
              <w:snapToGrid w:val="0"/>
              <w:rPr>
                <w:rFonts w:eastAsia="Calibri" w:cs="Calibri"/>
                <w:color w:val="404040"/>
              </w:rPr>
            </w:pPr>
            <w:r w:rsidRPr="004B2B6A">
              <w:rPr>
                <w:rFonts w:eastAsia="Calibri" w:cs="Calibri"/>
                <w:color w:val="404040"/>
              </w:rPr>
              <w:t>All EU institutions &amp; transport sector stakeholders</w:t>
            </w:r>
          </w:p>
        </w:tc>
      </w:tr>
      <w:tr w:rsidR="003E52DC" w:rsidRPr="004B2B6A" w:rsidTr="003E52DC">
        <w:tc>
          <w:tcPr>
            <w:tcW w:w="2831" w:type="dxa"/>
            <w:shd w:val="clear" w:color="auto" w:fill="auto"/>
          </w:tcPr>
          <w:p w:rsidR="003E52DC" w:rsidRPr="001C2193" w:rsidRDefault="003E52DC" w:rsidP="003035A4">
            <w:pPr>
              <w:ind w:left="29"/>
              <w:outlineLvl w:val="0"/>
              <w:rPr>
                <w:color w:val="262626"/>
              </w:rPr>
            </w:pPr>
            <w:r w:rsidRPr="001C2193">
              <w:rPr>
                <w:color w:val="262626"/>
              </w:rPr>
              <w:t>Flagship event on E-mobility</w:t>
            </w:r>
          </w:p>
          <w:p w:rsidR="003E52DC" w:rsidRPr="001C2193" w:rsidRDefault="003E52DC" w:rsidP="003035A4">
            <w:pPr>
              <w:ind w:left="29"/>
              <w:outlineLvl w:val="0"/>
              <w:rPr>
                <w:color w:val="595959" w:themeColor="text1" w:themeTint="A6"/>
              </w:rPr>
            </w:pPr>
            <w:r w:rsidRPr="001C2193">
              <w:rPr>
                <w:color w:val="262626"/>
              </w:rPr>
              <w:t>Full-day event  on the Clean Mobility Package and Smart Charging</w:t>
            </w:r>
          </w:p>
        </w:tc>
        <w:tc>
          <w:tcPr>
            <w:tcW w:w="1701" w:type="dxa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Event</w:t>
            </w:r>
          </w:p>
        </w:tc>
        <w:tc>
          <w:tcPr>
            <w:tcW w:w="1246" w:type="dxa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Q3 2018</w:t>
            </w:r>
          </w:p>
        </w:tc>
        <w:tc>
          <w:tcPr>
            <w:tcW w:w="1062" w:type="dxa"/>
            <w:shd w:val="clear" w:color="auto" w:fill="auto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Q3 2018</w:t>
            </w:r>
          </w:p>
        </w:tc>
        <w:tc>
          <w:tcPr>
            <w:tcW w:w="2256" w:type="dxa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404040"/>
              </w:rPr>
              <w:t>All EU institutions &amp; transport sector stakeholders</w:t>
            </w:r>
          </w:p>
        </w:tc>
      </w:tr>
      <w:tr w:rsidR="003E52DC" w:rsidRPr="004B2B6A" w:rsidTr="003E52DC">
        <w:tc>
          <w:tcPr>
            <w:tcW w:w="2831" w:type="dxa"/>
            <w:shd w:val="clear" w:color="auto" w:fill="auto"/>
          </w:tcPr>
          <w:p w:rsidR="003E52DC" w:rsidRPr="004B2B6A" w:rsidRDefault="003E52DC" w:rsidP="00F13856">
            <w:pPr>
              <w:ind w:left="29"/>
              <w:outlineLvl w:val="0"/>
              <w:rPr>
                <w:b/>
                <w:color w:val="595959" w:themeColor="text1" w:themeTint="A6"/>
              </w:rPr>
            </w:pPr>
            <w:r w:rsidRPr="004B2B6A">
              <w:rPr>
                <w:color w:val="262626"/>
              </w:rPr>
              <w:t>Study on Electrification and decarbonisation of the power sector in the context of the Paris agreement (in cooperation with steering committee)</w:t>
            </w:r>
          </w:p>
        </w:tc>
        <w:tc>
          <w:tcPr>
            <w:tcW w:w="1701" w:type="dxa"/>
          </w:tcPr>
          <w:p w:rsidR="003E52DC" w:rsidRPr="004B2B6A" w:rsidRDefault="003E52DC" w:rsidP="00940C5B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Feed into transport related work stream conducted by steering committee</w:t>
            </w:r>
          </w:p>
        </w:tc>
        <w:tc>
          <w:tcPr>
            <w:tcW w:w="1246" w:type="dxa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Q1 2018</w:t>
            </w:r>
          </w:p>
        </w:tc>
        <w:tc>
          <w:tcPr>
            <w:tcW w:w="1062" w:type="dxa"/>
            <w:shd w:val="clear" w:color="auto" w:fill="auto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595959" w:themeColor="text1" w:themeTint="A6"/>
              </w:rPr>
              <w:t>Q4 2108</w:t>
            </w:r>
          </w:p>
        </w:tc>
        <w:tc>
          <w:tcPr>
            <w:tcW w:w="2256" w:type="dxa"/>
          </w:tcPr>
          <w:p w:rsidR="003E52DC" w:rsidRPr="004B2B6A" w:rsidRDefault="003E52DC" w:rsidP="00F13856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 w:rsidRPr="004B2B6A">
              <w:rPr>
                <w:rFonts w:eastAsia="Calibri" w:cs="Calibri"/>
                <w:color w:val="404040"/>
              </w:rPr>
              <w:t>All EU institutions &amp; transport sector stakeholders</w:t>
            </w:r>
          </w:p>
        </w:tc>
      </w:tr>
      <w:tr w:rsidR="003E52DC" w:rsidRPr="004B2B6A" w:rsidTr="003E52DC">
        <w:tc>
          <w:tcPr>
            <w:tcW w:w="2831" w:type="dxa"/>
            <w:shd w:val="clear" w:color="auto" w:fill="auto"/>
          </w:tcPr>
          <w:p w:rsidR="003E52DC" w:rsidRPr="003A2A56" w:rsidRDefault="003E52DC" w:rsidP="003B49A5">
            <w:pPr>
              <w:ind w:left="29"/>
              <w:outlineLvl w:val="0"/>
            </w:pPr>
            <w:r w:rsidRPr="003A2A56">
              <w:t>Report on current situation of EV recharging infrastructure in the EU in the context of the Clean Mobility Package prospects, including technical &amp; regulatory requirements and barriers in member states</w:t>
            </w:r>
          </w:p>
        </w:tc>
        <w:tc>
          <w:tcPr>
            <w:tcW w:w="1701" w:type="dxa"/>
          </w:tcPr>
          <w:p w:rsidR="003E52DC" w:rsidRPr="003A2A56" w:rsidRDefault="003E52DC" w:rsidP="003B49A5">
            <w:pPr>
              <w:snapToGrid w:val="0"/>
              <w:rPr>
                <w:rFonts w:eastAsia="Calibri" w:cs="Calibri"/>
              </w:rPr>
            </w:pPr>
            <w:r w:rsidRPr="003A2A56">
              <w:rPr>
                <w:rFonts w:eastAsia="Calibri" w:cs="Calibri"/>
              </w:rPr>
              <w:t xml:space="preserve">Member state analysis and report, building on recent </w:t>
            </w:r>
            <w:hyperlink r:id="rId8" w:history="1">
              <w:r w:rsidRPr="003A2A56">
                <w:rPr>
                  <w:rStyle w:val="Hyperlink"/>
                  <w:rFonts w:eastAsia="Calibri" w:cs="Calibri"/>
                  <w:color w:val="auto"/>
                  <w:u w:val="none"/>
                </w:rPr>
                <w:t>position paper on smart charging</w:t>
              </w:r>
            </w:hyperlink>
          </w:p>
        </w:tc>
        <w:tc>
          <w:tcPr>
            <w:tcW w:w="1246" w:type="dxa"/>
          </w:tcPr>
          <w:p w:rsidR="003E52DC" w:rsidRPr="004B2B6A" w:rsidRDefault="003E52DC" w:rsidP="003B49A5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>
              <w:t>9/</w:t>
            </w:r>
            <w:r w:rsidRPr="00681D6E">
              <w:t>2018</w:t>
            </w:r>
          </w:p>
        </w:tc>
        <w:tc>
          <w:tcPr>
            <w:tcW w:w="1062" w:type="dxa"/>
            <w:shd w:val="clear" w:color="auto" w:fill="auto"/>
          </w:tcPr>
          <w:p w:rsidR="003E52DC" w:rsidRPr="004B2B6A" w:rsidRDefault="003E52DC" w:rsidP="003B49A5">
            <w:pPr>
              <w:snapToGrid w:val="0"/>
              <w:rPr>
                <w:rFonts w:eastAsia="Calibri" w:cs="Calibri"/>
                <w:color w:val="595959" w:themeColor="text1" w:themeTint="A6"/>
              </w:rPr>
            </w:pPr>
            <w:r>
              <w:t>2/2019</w:t>
            </w:r>
          </w:p>
        </w:tc>
        <w:tc>
          <w:tcPr>
            <w:tcW w:w="2256" w:type="dxa"/>
          </w:tcPr>
          <w:p w:rsidR="003E52DC" w:rsidRPr="004B2B6A" w:rsidRDefault="003E52DC" w:rsidP="003B49A5">
            <w:pPr>
              <w:snapToGrid w:val="0"/>
              <w:rPr>
                <w:rFonts w:eastAsia="Calibri" w:cs="Calibri"/>
                <w:color w:val="404040"/>
              </w:rPr>
            </w:pPr>
            <w:r w:rsidRPr="004B2B6A">
              <w:rPr>
                <w:rFonts w:eastAsia="Calibri" w:cs="Calibri"/>
                <w:color w:val="404040"/>
              </w:rPr>
              <w:t xml:space="preserve">All EU institutions &amp; transport sector </w:t>
            </w:r>
            <w:r>
              <w:rPr>
                <w:rFonts w:eastAsia="Calibri" w:cs="Calibri"/>
                <w:color w:val="404040"/>
              </w:rPr>
              <w:t xml:space="preserve">as well as grid related </w:t>
            </w:r>
            <w:r w:rsidRPr="004B2B6A">
              <w:rPr>
                <w:rFonts w:eastAsia="Calibri" w:cs="Calibri"/>
                <w:color w:val="404040"/>
              </w:rPr>
              <w:t>stakeholders</w:t>
            </w:r>
            <w:r>
              <w:rPr>
                <w:rFonts w:eastAsia="Calibri" w:cs="Calibri"/>
                <w:color w:val="404040"/>
              </w:rPr>
              <w:t>, e.g. ACER, NRAs and relevant DSO organisations</w:t>
            </w:r>
          </w:p>
        </w:tc>
      </w:tr>
    </w:tbl>
    <w:p w:rsidR="003035A4" w:rsidRPr="004B2B6A" w:rsidRDefault="003035A4" w:rsidP="004F47E1">
      <w:pPr>
        <w:tabs>
          <w:tab w:val="left" w:pos="6600"/>
        </w:tabs>
        <w:rPr>
          <w:rFonts w:eastAsia="Times New Roman" w:cs="Times New Roman"/>
          <w:b/>
          <w:color w:val="2C63FE"/>
          <w:sz w:val="24"/>
          <w:szCs w:val="24"/>
          <w:lang w:eastAsia="en-GB"/>
        </w:rPr>
      </w:pPr>
    </w:p>
    <w:sectPr w:rsidR="003035A4" w:rsidRPr="004B2B6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7CE" w:rsidRDefault="002A77CE" w:rsidP="00F83730">
      <w:pPr>
        <w:spacing w:after="0" w:line="240" w:lineRule="auto"/>
      </w:pPr>
      <w:r>
        <w:separator/>
      </w:r>
    </w:p>
  </w:endnote>
  <w:endnote w:type="continuationSeparator" w:id="0">
    <w:p w:rsidR="002A77CE" w:rsidRDefault="002A77CE" w:rsidP="00F83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anelas">
    <w:altName w:val="Arial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EDP Preon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7CE" w:rsidRDefault="002A77CE" w:rsidP="00F83730">
      <w:pPr>
        <w:spacing w:after="0" w:line="240" w:lineRule="auto"/>
      </w:pPr>
      <w:r>
        <w:separator/>
      </w:r>
    </w:p>
  </w:footnote>
  <w:footnote w:type="continuationSeparator" w:id="0">
    <w:p w:rsidR="002A77CE" w:rsidRDefault="002A77CE" w:rsidP="00F83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30" w:rsidRDefault="00F83730">
    <w:pPr>
      <w:pStyle w:val="Header"/>
    </w:pPr>
    <w:r w:rsidRPr="00BA6A2C">
      <w:rPr>
        <w:noProof/>
        <w:lang w:eastAsia="en-GB"/>
      </w:rPr>
      <w:drawing>
        <wp:inline distT="0" distB="0" distL="0" distR="0" wp14:anchorId="4ECD0B41" wp14:editId="2B3591F5">
          <wp:extent cx="2088107" cy="457436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263" b="17836"/>
                  <a:stretch/>
                </pic:blipFill>
                <pic:spPr bwMode="auto">
                  <a:xfrm>
                    <a:off x="0" y="0"/>
                    <a:ext cx="2105274" cy="4611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0F6D"/>
    <w:multiLevelType w:val="hybridMultilevel"/>
    <w:tmpl w:val="0C963230"/>
    <w:lvl w:ilvl="0" w:tplc="506A5CE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D31492"/>
    <w:multiLevelType w:val="hybridMultilevel"/>
    <w:tmpl w:val="6BEA89E2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37DC1"/>
    <w:multiLevelType w:val="hybridMultilevel"/>
    <w:tmpl w:val="55C019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6648B8"/>
    <w:multiLevelType w:val="hybridMultilevel"/>
    <w:tmpl w:val="3D101A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91565C"/>
    <w:multiLevelType w:val="hybridMultilevel"/>
    <w:tmpl w:val="5AECA9EE"/>
    <w:lvl w:ilvl="0" w:tplc="5B009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70AA5"/>
    <w:multiLevelType w:val="hybridMultilevel"/>
    <w:tmpl w:val="FF841FBE"/>
    <w:lvl w:ilvl="0" w:tplc="5B009F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17A17"/>
    <w:multiLevelType w:val="singleLevel"/>
    <w:tmpl w:val="506A5CE8"/>
    <w:lvl w:ilvl="0">
      <w:start w:val="1"/>
      <w:numFmt w:val="bullet"/>
      <w:lvlText w:val="-"/>
      <w:lvlJc w:val="left"/>
      <w:pPr>
        <w:tabs>
          <w:tab w:val="num" w:pos="1120"/>
        </w:tabs>
        <w:ind w:left="1120" w:hanging="420"/>
      </w:pPr>
      <w:rPr>
        <w:rFonts w:ascii="Times New Roman" w:hAnsi="Times New Roman" w:cs="Times New Roman" w:hint="default"/>
      </w:rPr>
    </w:lvl>
  </w:abstractNum>
  <w:abstractNum w:abstractNumId="7">
    <w:nsid w:val="50341214"/>
    <w:multiLevelType w:val="hybridMultilevel"/>
    <w:tmpl w:val="404AD78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8D352C"/>
    <w:multiLevelType w:val="hybridMultilevel"/>
    <w:tmpl w:val="80CC9E6C"/>
    <w:lvl w:ilvl="0" w:tplc="8132C8C4">
      <w:start w:val="23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  <w:color w:val="2626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3712AD"/>
    <w:multiLevelType w:val="multilevel"/>
    <w:tmpl w:val="258E094C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5EF53892"/>
    <w:multiLevelType w:val="hybridMultilevel"/>
    <w:tmpl w:val="D7068F2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A3569"/>
    <w:multiLevelType w:val="multilevel"/>
    <w:tmpl w:val="25882F3A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1BC2CA4"/>
    <w:multiLevelType w:val="hybridMultilevel"/>
    <w:tmpl w:val="5218F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90DFC"/>
    <w:multiLevelType w:val="hybridMultilevel"/>
    <w:tmpl w:val="746A6696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44F6C"/>
    <w:multiLevelType w:val="multilevel"/>
    <w:tmpl w:val="4C468B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6E7A0E84"/>
    <w:multiLevelType w:val="multilevel"/>
    <w:tmpl w:val="43580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EA04257"/>
    <w:multiLevelType w:val="hybridMultilevel"/>
    <w:tmpl w:val="9C5016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D30DD"/>
    <w:multiLevelType w:val="singleLevel"/>
    <w:tmpl w:val="B1660DB6"/>
    <w:lvl w:ilvl="0">
      <w:start w:val="3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hAnsi="Times New Roman" w:cs="Times New Roman" w:hint="default"/>
      </w:rPr>
    </w:lvl>
  </w:abstractNum>
  <w:abstractNum w:abstractNumId="18">
    <w:nsid w:val="712A2539"/>
    <w:multiLevelType w:val="singleLevel"/>
    <w:tmpl w:val="38461E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>
    <w:nsid w:val="720039E1"/>
    <w:multiLevelType w:val="multilevel"/>
    <w:tmpl w:val="36A85232"/>
    <w:lvl w:ilvl="0">
      <w:start w:val="1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7AF55856"/>
    <w:multiLevelType w:val="hybridMultilevel"/>
    <w:tmpl w:val="5A0628C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F77705"/>
    <w:multiLevelType w:val="hybridMultilevel"/>
    <w:tmpl w:val="B9768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16"/>
  </w:num>
  <w:num w:numId="6">
    <w:abstractNumId w:val="10"/>
  </w:num>
  <w:num w:numId="7">
    <w:abstractNumId w:val="15"/>
  </w:num>
  <w:num w:numId="8">
    <w:abstractNumId w:val="4"/>
  </w:num>
  <w:num w:numId="9">
    <w:abstractNumId w:val="7"/>
  </w:num>
  <w:num w:numId="10">
    <w:abstractNumId w:val="5"/>
  </w:num>
  <w:num w:numId="11">
    <w:abstractNumId w:val="13"/>
  </w:num>
  <w:num w:numId="12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6"/>
  </w:num>
  <w:num w:numId="15">
    <w:abstractNumId w:val="9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0"/>
  </w:num>
  <w:num w:numId="18">
    <w:abstractNumId w:val="1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0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ning HÄDER">
    <w15:presenceInfo w15:providerId="AD" w15:userId="S-1-5-21-2533946859-3114438330-2411212023-5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7E1"/>
    <w:rsid w:val="00004845"/>
    <w:rsid w:val="0009696F"/>
    <w:rsid w:val="000C454E"/>
    <w:rsid w:val="000D3593"/>
    <w:rsid w:val="001A4ABA"/>
    <w:rsid w:val="001C2193"/>
    <w:rsid w:val="0020464E"/>
    <w:rsid w:val="002A77CE"/>
    <w:rsid w:val="002D3063"/>
    <w:rsid w:val="003035A4"/>
    <w:rsid w:val="003059E5"/>
    <w:rsid w:val="0031073D"/>
    <w:rsid w:val="003347C8"/>
    <w:rsid w:val="003A2A56"/>
    <w:rsid w:val="003B49A5"/>
    <w:rsid w:val="003E52DC"/>
    <w:rsid w:val="00446C3F"/>
    <w:rsid w:val="0046530A"/>
    <w:rsid w:val="00492984"/>
    <w:rsid w:val="004A6335"/>
    <w:rsid w:val="004B2B6A"/>
    <w:rsid w:val="004D3483"/>
    <w:rsid w:val="004F47E1"/>
    <w:rsid w:val="005465BC"/>
    <w:rsid w:val="00580C03"/>
    <w:rsid w:val="005C073E"/>
    <w:rsid w:val="005C5D19"/>
    <w:rsid w:val="005E2BFB"/>
    <w:rsid w:val="0068331C"/>
    <w:rsid w:val="00697754"/>
    <w:rsid w:val="006E7985"/>
    <w:rsid w:val="00720EC1"/>
    <w:rsid w:val="007B1FA3"/>
    <w:rsid w:val="007B7EDF"/>
    <w:rsid w:val="007C3D56"/>
    <w:rsid w:val="008367CD"/>
    <w:rsid w:val="00845398"/>
    <w:rsid w:val="00867B90"/>
    <w:rsid w:val="00884EE1"/>
    <w:rsid w:val="008B273C"/>
    <w:rsid w:val="008D5690"/>
    <w:rsid w:val="009115A7"/>
    <w:rsid w:val="00940C5B"/>
    <w:rsid w:val="00982470"/>
    <w:rsid w:val="00987908"/>
    <w:rsid w:val="009A7D39"/>
    <w:rsid w:val="009D37C1"/>
    <w:rsid w:val="00A21A23"/>
    <w:rsid w:val="00AA2266"/>
    <w:rsid w:val="00AB701E"/>
    <w:rsid w:val="00AD1F8A"/>
    <w:rsid w:val="00AD67A7"/>
    <w:rsid w:val="00AF5A34"/>
    <w:rsid w:val="00B14539"/>
    <w:rsid w:val="00B32516"/>
    <w:rsid w:val="00B358E8"/>
    <w:rsid w:val="00B37BAB"/>
    <w:rsid w:val="00B665E6"/>
    <w:rsid w:val="00B95758"/>
    <w:rsid w:val="00BA3F6C"/>
    <w:rsid w:val="00BD0F11"/>
    <w:rsid w:val="00C05FD0"/>
    <w:rsid w:val="00C10C70"/>
    <w:rsid w:val="00C1405B"/>
    <w:rsid w:val="00C25DDE"/>
    <w:rsid w:val="00C27DF0"/>
    <w:rsid w:val="00C4681D"/>
    <w:rsid w:val="00CC5AF3"/>
    <w:rsid w:val="00CD1F76"/>
    <w:rsid w:val="00CF22F6"/>
    <w:rsid w:val="00D13A23"/>
    <w:rsid w:val="00D46A87"/>
    <w:rsid w:val="00D6739E"/>
    <w:rsid w:val="00D75D2A"/>
    <w:rsid w:val="00D77FA3"/>
    <w:rsid w:val="00D920E1"/>
    <w:rsid w:val="00F101FF"/>
    <w:rsid w:val="00F24118"/>
    <w:rsid w:val="00F73AC3"/>
    <w:rsid w:val="00F8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F47E1"/>
    <w:pPr>
      <w:spacing w:after="0" w:line="240" w:lineRule="auto"/>
      <w:ind w:left="720"/>
      <w:contextualSpacing/>
    </w:pPr>
    <w:rPr>
      <w:rFonts w:ascii="Times" w:eastAsia="Times New Roman" w:hAnsi="Times" w:cs="Times New Roman"/>
      <w:sz w:val="24"/>
      <w:szCs w:val="20"/>
      <w:lang w:val="en-US" w:eastAsia="en-GB"/>
    </w:rPr>
  </w:style>
  <w:style w:type="character" w:customStyle="1" w:styleId="ListParagraphChar">
    <w:name w:val="List Paragraph Char"/>
    <w:link w:val="ListParagraph"/>
    <w:uiPriority w:val="34"/>
    <w:locked/>
    <w:rsid w:val="004F47E1"/>
    <w:rPr>
      <w:rFonts w:ascii="Times" w:eastAsia="Times New Roman" w:hAnsi="Times" w:cs="Times New Roman"/>
      <w:sz w:val="24"/>
      <w:szCs w:val="20"/>
      <w:lang w:val="en-US" w:eastAsia="en-GB"/>
    </w:rPr>
  </w:style>
  <w:style w:type="character" w:styleId="Hyperlink">
    <w:name w:val="Hyperlink"/>
    <w:basedOn w:val="DefaultParagraphFont"/>
    <w:uiPriority w:val="99"/>
    <w:unhideWhenUsed/>
    <w:rsid w:val="004F47E1"/>
    <w:rPr>
      <w:color w:val="0000FF" w:themeColor="hyperlink"/>
      <w:u w:val="single"/>
    </w:rPr>
  </w:style>
  <w:style w:type="paragraph" w:customStyle="1" w:styleId="ToRChairman">
    <w:name w:val="ToR Chairman"/>
    <w:basedOn w:val="Normal"/>
    <w:rsid w:val="004F47E1"/>
    <w:pPr>
      <w:tabs>
        <w:tab w:val="left" w:pos="1418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ToRWGTitle">
    <w:name w:val="ToR WG Title"/>
    <w:basedOn w:val="Normal"/>
    <w:rsid w:val="004F47E1"/>
    <w:pPr>
      <w:tabs>
        <w:tab w:val="right" w:pos="9639"/>
      </w:tabs>
      <w:spacing w:after="120" w:line="240" w:lineRule="auto"/>
      <w:jc w:val="both"/>
      <w:outlineLvl w:val="0"/>
    </w:pPr>
    <w:rPr>
      <w:rFonts w:eastAsia="Times New Roman" w:cs="Times New Roman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730"/>
  </w:style>
  <w:style w:type="paragraph" w:styleId="Footer">
    <w:name w:val="footer"/>
    <w:basedOn w:val="Normal"/>
    <w:link w:val="FooterChar"/>
    <w:uiPriority w:val="99"/>
    <w:unhideWhenUsed/>
    <w:rsid w:val="00F83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F47E1"/>
    <w:pPr>
      <w:spacing w:after="0" w:line="240" w:lineRule="auto"/>
      <w:ind w:left="720"/>
      <w:contextualSpacing/>
    </w:pPr>
    <w:rPr>
      <w:rFonts w:ascii="Times" w:eastAsia="Times New Roman" w:hAnsi="Times" w:cs="Times New Roman"/>
      <w:sz w:val="24"/>
      <w:szCs w:val="20"/>
      <w:lang w:val="en-US" w:eastAsia="en-GB"/>
    </w:rPr>
  </w:style>
  <w:style w:type="character" w:customStyle="1" w:styleId="ListParagraphChar">
    <w:name w:val="List Paragraph Char"/>
    <w:link w:val="ListParagraph"/>
    <w:uiPriority w:val="34"/>
    <w:locked/>
    <w:rsid w:val="004F47E1"/>
    <w:rPr>
      <w:rFonts w:ascii="Times" w:eastAsia="Times New Roman" w:hAnsi="Times" w:cs="Times New Roman"/>
      <w:sz w:val="24"/>
      <w:szCs w:val="20"/>
      <w:lang w:val="en-US" w:eastAsia="en-GB"/>
    </w:rPr>
  </w:style>
  <w:style w:type="character" w:styleId="Hyperlink">
    <w:name w:val="Hyperlink"/>
    <w:basedOn w:val="DefaultParagraphFont"/>
    <w:uiPriority w:val="99"/>
    <w:unhideWhenUsed/>
    <w:rsid w:val="004F47E1"/>
    <w:rPr>
      <w:color w:val="0000FF" w:themeColor="hyperlink"/>
      <w:u w:val="single"/>
    </w:rPr>
  </w:style>
  <w:style w:type="paragraph" w:customStyle="1" w:styleId="ToRChairman">
    <w:name w:val="ToR Chairman"/>
    <w:basedOn w:val="Normal"/>
    <w:rsid w:val="004F47E1"/>
    <w:pPr>
      <w:tabs>
        <w:tab w:val="left" w:pos="1418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ToRWGTitle">
    <w:name w:val="ToR WG Title"/>
    <w:basedOn w:val="Normal"/>
    <w:rsid w:val="004F47E1"/>
    <w:pPr>
      <w:tabs>
        <w:tab w:val="right" w:pos="9639"/>
      </w:tabs>
      <w:spacing w:after="120" w:line="240" w:lineRule="auto"/>
      <w:jc w:val="both"/>
      <w:outlineLvl w:val="0"/>
    </w:pPr>
    <w:rPr>
      <w:rFonts w:eastAsia="Times New Roman" w:cs="Times New Roman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730"/>
  </w:style>
  <w:style w:type="paragraph" w:styleId="Footer">
    <w:name w:val="footer"/>
    <w:basedOn w:val="Normal"/>
    <w:link w:val="FooterChar"/>
    <w:uiPriority w:val="99"/>
    <w:unhideWhenUsed/>
    <w:rsid w:val="00F83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electric.org/media/2162/smart_charging_statement-2017-030-0589-01-e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Eurelectric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Gael GLORIEUX</dc:creator>
  <cp:lastModifiedBy>Fergal McNAMARA</cp:lastModifiedBy>
  <cp:revision>28</cp:revision>
  <cp:lastPrinted>2018-04-26T10:03:00Z</cp:lastPrinted>
  <dcterms:created xsi:type="dcterms:W3CDTF">2018-04-26T13:06:00Z</dcterms:created>
  <dcterms:modified xsi:type="dcterms:W3CDTF">2018-05-17T12:18:00Z</dcterms:modified>
</cp:coreProperties>
</file>